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eastAsia="zh-CN"/>
        </w:rPr>
        <w:t>库尔勒市科学技术馆</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负责组织举办常设性和临时性的科普活动或展览；组织科普专题报告会、讲座、影视等教育活动；组织面向青少年的科学实验和科技竞技比赛等活动；收集和贮存科普展览的有关资料及实物，设计、制作和布置展览，组织并辅导公众参观展览；组织面向公众的各种类型的科技培训；组织开展青少年科技教育研究活动和宣传活动；负责上级或其他单位委托的各种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库尔勒科技馆</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auto"/>
          <w:kern w:val="2"/>
          <w:sz w:val="32"/>
          <w:szCs w:val="32"/>
          <w:highlight w:val="none"/>
          <w:lang w:val="en-US" w:eastAsia="zh-CN" w:bidi="ar-SA"/>
        </w:rPr>
        <w:t>5</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auto"/>
          <w:kern w:val="2"/>
          <w:sz w:val="32"/>
          <w:szCs w:val="32"/>
          <w:highlight w:val="none"/>
          <w:lang w:val="en-US" w:eastAsia="zh-CN" w:bidi="ar-SA"/>
        </w:rPr>
        <w:t>5</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auto"/>
          <w:kern w:val="2"/>
          <w:sz w:val="32"/>
          <w:szCs w:val="32"/>
          <w:highlight w:val="none"/>
          <w:lang w:val="en-US" w:eastAsia="zh-CN" w:bidi="ar-SA"/>
        </w:rPr>
        <w:t>5</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一、以学习党的二十大精神为重点，坚持每周三至周五业务学习制度，通过自主学、请进来、走出去、以赛促学等多种方式，不断提升队伍专业素养。</w:t>
      </w:r>
    </w:p>
    <w:p>
      <w:pPr>
        <w:pageBreakBefore w:val="0"/>
        <w:kinsoku/>
        <w:wordWrap/>
        <w:overflowPunct/>
        <w:topLinePunct w:val="0"/>
        <w:autoSpaceDE/>
        <w:autoSpaceDN/>
        <w:bidi w:val="0"/>
        <w:adjustRightInd/>
        <w:spacing w:line="600" w:lineRule="exact"/>
        <w:ind w:firstLine="624" w:firstLineChars="200"/>
        <w:textAlignment w:val="auto"/>
        <w:rPr>
          <w:rStyle w:val="9"/>
          <w:rFonts w:hint="default"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二、科技馆展览面积6000平方米，加强场馆各项业务有序开展：1、确保全年开馆时间不少于200天；2、新购展项3-4个；3、围绕群众科普文化需求，开展各类科普主题活动、把“流动科技馆”带下乡、镇、社区、校园等科普宣传活动，切实打通科普服务群众最后一公里；4、全年开展各类活动、培训不少于20次。5、发挥维修维护突击队作用，对场馆所有展品展项全年维修、维护次数不少于2次，确保展品完好率和运行率；6、进一步更新加强数字科技馆建设，线上线下科普融合，实现科普互联互通，提升科普信息化水平。</w:t>
      </w:r>
    </w:p>
    <w:p>
      <w:pPr>
        <w:pageBreakBefore w:val="0"/>
        <w:kinsoku/>
        <w:wordWrap/>
        <w:overflowPunct/>
        <w:topLinePunct w:val="0"/>
        <w:autoSpaceDE/>
        <w:autoSpaceDN/>
        <w:bidi w:val="0"/>
        <w:adjustRightInd/>
        <w:spacing w:line="600" w:lineRule="exact"/>
        <w:ind w:firstLine="624" w:firstLineChars="200"/>
        <w:textAlignment w:val="auto"/>
        <w:rPr>
          <w:rFonts w:hint="eastAsia" w:ascii="仿宋" w:hAnsi="仿宋" w:eastAsia="仿宋" w:cs="仿宋"/>
          <w:b w:val="0"/>
          <w:bCs/>
          <w:color w:val="auto"/>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三、加大免费开放力度，做好场馆日常运行工作为游客营造更温馨舒适的参观环境，发挥社会化科普教育平台作用，弘扬爱国主义精神，普及科学知识，传播科学思想和科学方法，有效地提高了各族群众的科学素质。</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库尔勒科技馆</w:t>
      </w:r>
      <w:r>
        <w:rPr>
          <w:rStyle w:val="9"/>
          <w:rFonts w:hint="eastAsia" w:ascii="仿宋" w:hAnsi="仿宋" w:eastAsia="仿宋" w:cs="仿宋"/>
          <w:b w:val="0"/>
          <w:bCs/>
          <w:color w:val="auto"/>
          <w:spacing w:val="-4"/>
          <w:sz w:val="32"/>
          <w:szCs w:val="32"/>
          <w:highlight w:val="none"/>
          <w:lang w:val="en-US" w:eastAsia="zh-CN"/>
        </w:rPr>
        <w:t>2023年通过本部门预算支出，确保了</w:t>
      </w:r>
      <w:r>
        <w:rPr>
          <w:rStyle w:val="9"/>
          <w:rFonts w:hint="eastAsia" w:ascii="仿宋" w:hAnsi="仿宋" w:eastAsia="仿宋" w:cs="仿宋"/>
          <w:b w:val="0"/>
          <w:bCs/>
          <w:color w:val="auto"/>
          <w:spacing w:val="-4"/>
          <w:sz w:val="32"/>
          <w:szCs w:val="32"/>
          <w:highlight w:val="none"/>
          <w:lang w:val="en-US" w:eastAsia="zh-CN"/>
        </w:rPr>
        <w:t>5</w:t>
      </w:r>
      <w:r>
        <w:rPr>
          <w:rStyle w:val="9"/>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9"/>
          <w:rFonts w:hint="eastAsia" w:ascii="仿宋" w:hAnsi="仿宋" w:eastAsia="仿宋" w:cs="仿宋"/>
          <w:b w:val="0"/>
          <w:bCs/>
          <w:color w:val="auto"/>
          <w:spacing w:val="-4"/>
          <w:sz w:val="32"/>
          <w:szCs w:val="32"/>
          <w:highlight w:val="none"/>
          <w:lang w:val="en-US" w:eastAsia="zh-CN"/>
        </w:rPr>
        <w:t>。</w:t>
      </w:r>
      <w:r>
        <w:rPr>
          <w:rStyle w:val="9"/>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443.26</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185.26</w:t>
      </w:r>
      <w:r>
        <w:rPr>
          <w:rFonts w:hint="eastAsia" w:ascii="仿宋" w:hAnsi="仿宋" w:eastAsia="仿宋" w:cs="仿宋"/>
          <w:color w:val="auto"/>
          <w:sz w:val="32"/>
          <w:szCs w:val="32"/>
          <w:highlight w:val="none"/>
          <w:lang w:val="en-US" w:eastAsia="zh-CN"/>
        </w:rPr>
        <w:t>万元，其他资金</w:t>
      </w:r>
      <w:r>
        <w:rPr>
          <w:rFonts w:hint="eastAsia" w:ascii="仿宋" w:hAnsi="仿宋" w:eastAsia="仿宋" w:cs="仿宋"/>
          <w:color w:val="auto"/>
          <w:sz w:val="32"/>
          <w:szCs w:val="32"/>
          <w:highlight w:val="none"/>
          <w:lang w:val="en-US" w:eastAsia="zh-CN"/>
        </w:rPr>
        <w:t>258</w:t>
      </w:r>
      <w:r>
        <w:rPr>
          <w:rFonts w:hint="eastAsia" w:ascii="仿宋" w:hAnsi="仿宋" w:eastAsia="仿宋" w:cs="仿宋"/>
          <w:color w:val="auto"/>
          <w:sz w:val="32"/>
          <w:szCs w:val="32"/>
          <w:highlight w:val="none"/>
          <w:lang w:val="en-US" w:eastAsia="zh-CN"/>
        </w:rPr>
        <w:t>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b w:val="0"/>
          <w:bCs/>
          <w:color w:val="auto"/>
          <w:sz w:val="32"/>
          <w:szCs w:val="32"/>
          <w:highlight w:val="none"/>
          <w:lang w:val="en-US" w:eastAsia="zh-CN"/>
        </w:rPr>
        <w:t>443.26</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auto"/>
          <w:sz w:val="32"/>
          <w:szCs w:val="32"/>
          <w:highlight w:val="none"/>
          <w:lang w:val="en-US" w:eastAsia="zh-CN"/>
        </w:rPr>
        <w:t>-22.11</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auto"/>
          <w:sz w:val="32"/>
          <w:szCs w:val="32"/>
          <w:highlight w:val="none"/>
          <w:lang w:val="en-US" w:eastAsia="zh-CN"/>
        </w:rPr>
        <w:t>421.15</w:t>
      </w:r>
      <w:r>
        <w:rPr>
          <w:rFonts w:hint="eastAsia" w:ascii="仿宋" w:hAnsi="仿宋" w:eastAsia="仿宋" w:cs="仿宋"/>
          <w:b w:val="0"/>
          <w:bCs/>
          <w:color w:val="auto"/>
          <w:sz w:val="32"/>
          <w:szCs w:val="32"/>
          <w:highlight w:val="none"/>
          <w:lang w:val="en-US" w:eastAsia="zh-CN"/>
        </w:rPr>
        <w:t>万元，预算调整率5</w:t>
      </w:r>
      <w:r>
        <w:rPr>
          <w:rFonts w:hint="eastAsia" w:ascii="仿宋" w:hAnsi="仿宋" w:eastAsia="仿宋" w:cs="仿宋"/>
          <w:b w:val="0"/>
          <w:bCs/>
          <w:color w:val="auto"/>
          <w:sz w:val="32"/>
          <w:szCs w:val="32"/>
          <w:highlight w:val="none"/>
          <w:lang w:val="en-US" w:eastAsia="zh-CN"/>
        </w:rPr>
        <w:t>%</w:t>
      </w:r>
      <w:r>
        <w:rPr>
          <w:rFonts w:hint="eastAsia" w:ascii="仿宋" w:hAnsi="仿宋" w:eastAsia="仿宋" w:cs="仿宋"/>
          <w:b w:val="0"/>
          <w:bCs/>
          <w:color w:val="auto"/>
          <w:sz w:val="32"/>
          <w:szCs w:val="32"/>
          <w:highlight w:val="none"/>
          <w:lang w:val="en-US" w:eastAsia="zh-CN"/>
        </w:rPr>
        <w:t>。</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auto"/>
          <w:kern w:val="2"/>
          <w:sz w:val="32"/>
          <w:szCs w:val="32"/>
          <w:highlight w:val="none"/>
          <w:lang w:val="en-US" w:eastAsia="zh-CN" w:bidi="ar-SA"/>
        </w:rPr>
        <w:t>421.15</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color w:val="auto"/>
          <w:kern w:val="2"/>
          <w:sz w:val="32"/>
          <w:szCs w:val="32"/>
          <w:highlight w:val="none"/>
          <w:lang w:val="en-US" w:eastAsia="zh-CN" w:bidi="ar-SA"/>
        </w:rPr>
        <w:t>421.15</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180.26</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421.15</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421.15</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auto"/>
          <w:sz w:val="32"/>
          <w:szCs w:val="32"/>
          <w:highlight w:val="none"/>
          <w:lang w:val="en-US" w:eastAsia="zh-CN"/>
        </w:rPr>
        <w:t>189.09</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232.06</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本单位2023年未安排项目支出。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w:t>
      </w:r>
      <w:r>
        <w:rPr>
          <w:rStyle w:val="9"/>
          <w:rFonts w:hint="eastAsia" w:ascii="仿宋" w:hAnsi="仿宋" w:eastAsia="仿宋" w:cs="仿宋"/>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条，二级指标共</w:t>
      </w:r>
      <w:r>
        <w:rPr>
          <w:rStyle w:val="9"/>
          <w:rFonts w:hint="eastAsia" w:ascii="仿宋" w:hAnsi="仿宋" w:eastAsia="仿宋" w:cs="仿宋"/>
          <w:b w:val="0"/>
          <w:color w:val="auto"/>
          <w:spacing w:val="-4"/>
          <w:sz w:val="32"/>
          <w:szCs w:val="32"/>
          <w:highlight w:val="none"/>
          <w:lang w:val="en-US" w:eastAsia="zh-CN"/>
        </w:rPr>
        <w:t>1</w:t>
      </w:r>
      <w:r>
        <w:rPr>
          <w:rStyle w:val="9"/>
          <w:rFonts w:hint="eastAsia" w:ascii="仿宋" w:hAnsi="仿宋" w:eastAsia="仿宋" w:cs="仿宋"/>
          <w:b w:val="0"/>
          <w:color w:val="auto"/>
          <w:spacing w:val="-4"/>
          <w:sz w:val="32"/>
          <w:szCs w:val="32"/>
          <w:highlight w:val="none"/>
          <w:lang w:val="en-US" w:eastAsia="zh-CN"/>
        </w:rPr>
        <w:t>条，三级指标共</w:t>
      </w:r>
      <w:r>
        <w:rPr>
          <w:rStyle w:val="9"/>
          <w:rFonts w:hint="eastAsia" w:ascii="仿宋" w:hAnsi="仿宋" w:eastAsia="仿宋" w:cs="仿宋"/>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条，其中量化指标条数共</w:t>
      </w:r>
      <w:r>
        <w:rPr>
          <w:rStyle w:val="9"/>
          <w:rFonts w:hint="eastAsia" w:ascii="仿宋" w:hAnsi="仿宋" w:eastAsia="仿宋" w:cs="仿宋"/>
          <w:b w:val="0"/>
          <w:color w:val="auto"/>
          <w:spacing w:val="-4"/>
          <w:sz w:val="32"/>
          <w:szCs w:val="32"/>
          <w:highlight w:val="none"/>
          <w:lang w:val="en-US" w:eastAsia="zh-CN"/>
        </w:rPr>
        <w:t>4</w:t>
      </w:r>
      <w:r>
        <w:rPr>
          <w:rStyle w:val="9"/>
          <w:rFonts w:hint="eastAsia" w:ascii="仿宋" w:hAnsi="仿宋" w:eastAsia="仿宋" w:cs="仿宋"/>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数量指标1：场馆免费开放天数,预期指标值为：=200天；监控节点完</w:t>
      </w:r>
      <w:r>
        <w:rPr>
          <w:rStyle w:val="9"/>
          <w:rFonts w:hint="eastAsia" w:ascii="仿宋" w:hAnsi="仿宋" w:eastAsia="仿宋" w:cs="仿宋"/>
          <w:b w:val="0"/>
          <w:color w:val="auto"/>
          <w:spacing w:val="-4"/>
          <w:sz w:val="32"/>
          <w:szCs w:val="32"/>
          <w:highlight w:val="none"/>
          <w:lang w:val="en-US" w:eastAsia="zh-CN"/>
        </w:rPr>
        <w:t>成值：=120天；</w:t>
      </w:r>
      <w:r>
        <w:rPr>
          <w:rStyle w:val="9"/>
          <w:rFonts w:hint="eastAsia" w:ascii="仿宋" w:hAnsi="仿宋" w:eastAsia="仿宋" w:cs="仿宋"/>
          <w:b w:val="0"/>
          <w:color w:val="auto"/>
          <w:spacing w:val="-4"/>
          <w:sz w:val="32"/>
          <w:szCs w:val="32"/>
          <w:highlight w:val="none"/>
          <w:lang w:val="en-US" w:eastAsia="zh-CN"/>
        </w:rPr>
        <w:t>评价实际完成值：=</w:t>
      </w:r>
      <w:r>
        <w:rPr>
          <w:rStyle w:val="9"/>
          <w:rFonts w:hint="eastAsia" w:ascii="仿宋" w:hAnsi="仿宋" w:eastAsia="仿宋" w:cs="仿宋"/>
          <w:b w:val="0"/>
          <w:color w:val="auto"/>
          <w:spacing w:val="-4"/>
          <w:sz w:val="32"/>
          <w:szCs w:val="32"/>
          <w:highlight w:val="none"/>
          <w:lang w:val="en-US" w:eastAsia="zh-CN"/>
        </w:rPr>
        <w:t>253天</w:t>
      </w:r>
      <w:r>
        <w:rPr>
          <w:rStyle w:val="9"/>
          <w:rFonts w:hint="eastAsia" w:ascii="仿宋" w:hAnsi="仿宋" w:eastAsia="仿宋" w:cs="仿宋"/>
          <w:b w:val="0"/>
          <w:color w:val="auto"/>
          <w:spacing w:val="-4"/>
          <w:sz w:val="32"/>
          <w:szCs w:val="32"/>
          <w:highlight w:val="none"/>
          <w:lang w:val="en-US" w:eastAsia="zh-CN"/>
        </w:rPr>
        <w:t>；指标完成率：100.00%；成效分析：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，提高了各族群众的科学素质，普及了科学知识。。</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数量指标2：开展科普宣传教育实践次数,预期指标值为：=20次；监控节点完</w:t>
      </w:r>
      <w:r>
        <w:rPr>
          <w:rStyle w:val="9"/>
          <w:rFonts w:hint="eastAsia" w:ascii="仿宋" w:hAnsi="仿宋" w:eastAsia="仿宋" w:cs="仿宋"/>
          <w:b w:val="0"/>
          <w:bCs/>
          <w:color w:val="auto"/>
          <w:spacing w:val="-4"/>
          <w:sz w:val="32"/>
          <w:szCs w:val="32"/>
          <w:highlight w:val="none"/>
          <w:lang w:val="en-US" w:eastAsia="zh-CN"/>
        </w:rPr>
        <w:t>成值：=20</w:t>
      </w:r>
      <w:r>
        <w:rPr>
          <w:rStyle w:val="9"/>
          <w:rFonts w:hint="eastAsia" w:ascii="仿宋" w:hAnsi="仿宋" w:eastAsia="仿宋" w:cs="仿宋"/>
          <w:b w:val="0"/>
          <w:bCs/>
          <w:color w:val="auto"/>
          <w:spacing w:val="-4"/>
          <w:sz w:val="32"/>
          <w:szCs w:val="32"/>
          <w:highlight w:val="none"/>
          <w:lang w:val="en-US" w:eastAsia="zh-CN"/>
        </w:rPr>
        <w:t>次；评价实际完成值：=21次；指标完成率：100.00%；成效分析：通过单位正常运转，提高了全民科普参与度，发挥了社会化科普教育平台作用。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数量指标3</w:t>
      </w:r>
      <w:r>
        <w:rPr>
          <w:rStyle w:val="9"/>
          <w:rFonts w:hint="eastAsia" w:ascii="仿宋" w:hAnsi="仿宋" w:eastAsia="仿宋" w:cs="仿宋"/>
          <w:b w:val="0"/>
          <w:color w:val="auto"/>
          <w:spacing w:val="-4"/>
          <w:sz w:val="32"/>
          <w:szCs w:val="32"/>
          <w:highlight w:val="none"/>
          <w:lang w:val="en-US" w:eastAsia="zh-CN"/>
        </w:rPr>
        <w:t>：展品维修维护次数,预期指标值为：=2次；监控节点完成值：=2次；评价实际完成值：=2次；指标完成率：100.00%；成效分析：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，通过对展项的维修维护，提高了游客参观体验感。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数量指标4</w:t>
      </w:r>
      <w:r>
        <w:rPr>
          <w:rStyle w:val="9"/>
          <w:rFonts w:hint="eastAsia" w:ascii="仿宋" w:hAnsi="仿宋" w:eastAsia="仿宋" w:cs="仿宋"/>
          <w:b w:val="0"/>
          <w:color w:val="auto"/>
          <w:spacing w:val="-4"/>
          <w:sz w:val="32"/>
          <w:szCs w:val="32"/>
          <w:highlight w:val="none"/>
          <w:lang w:val="en-US" w:eastAsia="zh-CN"/>
        </w:rPr>
        <w:t>：开放场馆面积,预期指标值为：=6000平方米；监控节点完成值：=6000平方米；评价实际完成值：=6000平方米；指标完成率：100.00%；成效分析：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，为游客营造更温馨舒适的参观环境，发挥科普教育平台作用。</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w:t>
      </w:r>
      <w:r>
        <w:rPr>
          <w:rStyle w:val="9"/>
          <w:rFonts w:hint="eastAsia" w:ascii="仿宋" w:hAnsi="仿宋" w:eastAsia="仿宋" w:cs="仿宋"/>
          <w:b w:val="0"/>
          <w:bCs/>
          <w:color w:val="auto"/>
          <w:spacing w:val="-4"/>
          <w:sz w:val="32"/>
          <w:szCs w:val="32"/>
          <w:highlight w:val="none"/>
          <w:lang w:val="en-US" w:eastAsia="zh-CN"/>
        </w:rPr>
        <w:t>100</w:t>
      </w:r>
      <w:r>
        <w:rPr>
          <w:rStyle w:val="9"/>
          <w:rFonts w:hint="eastAsia" w:ascii="仿宋" w:hAnsi="仿宋" w:eastAsia="仿宋" w:cs="仿宋"/>
          <w:b w:val="0"/>
          <w:bCs/>
          <w:color w:val="auto"/>
          <w:spacing w:val="-4"/>
          <w:sz w:val="32"/>
          <w:szCs w:val="32"/>
          <w:highlight w:val="none"/>
          <w:lang w:val="en-US" w:eastAsia="zh-CN"/>
        </w:rPr>
        <w:t>分，评价结果为“</w:t>
      </w:r>
      <w:r>
        <w:rPr>
          <w:rStyle w:val="9"/>
          <w:rFonts w:hint="eastAsia" w:ascii="仿宋" w:hAnsi="仿宋" w:eastAsia="仿宋" w:cs="仿宋"/>
          <w:b w:val="0"/>
          <w:bCs/>
          <w:color w:val="auto"/>
          <w:spacing w:val="-4"/>
          <w:sz w:val="32"/>
          <w:szCs w:val="32"/>
          <w:highlight w:val="none"/>
          <w:lang w:val="en-US" w:eastAsia="zh-CN"/>
        </w:rPr>
        <w:t>优”</w:t>
      </w:r>
      <w:r>
        <w:rPr>
          <w:rStyle w:val="9"/>
          <w:rFonts w:hint="eastAsia" w:ascii="仿宋" w:hAnsi="仿宋" w:eastAsia="仿宋" w:cs="仿宋"/>
          <w:b w:val="0"/>
          <w:bCs/>
          <w:color w:val="auto"/>
          <w:spacing w:val="-4"/>
          <w:sz w:val="32"/>
          <w:szCs w:val="32"/>
          <w:highlight w:val="none"/>
          <w:lang w:val="en-US" w:eastAsia="zh-CN"/>
        </w:rPr>
        <w:t>。</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科技馆工作取得了一定的成绩，但离上级与群众的要求还有较大差距，主要体现在：一是科技馆人员编制少，聘用人员多，人员流失严重，给场馆的正常开放带来了很大困难；二是场馆参观游客量大，展项损坏率高，缺少专业维护维修团队；三是科普活动经费不足</w:t>
      </w:r>
      <w:bookmarkStart w:id="0" w:name="_GoBack"/>
      <w:bookmarkEnd w:id="0"/>
      <w:r>
        <w:rPr>
          <w:rStyle w:val="9"/>
          <w:rFonts w:hint="eastAsia" w:ascii="仿宋" w:hAnsi="仿宋" w:eastAsia="仿宋" w:cs="仿宋"/>
          <w:b w:val="0"/>
          <w:bCs/>
          <w:color w:val="auto"/>
          <w:spacing w:val="-4"/>
          <w:sz w:val="32"/>
          <w:szCs w:val="32"/>
          <w:highlight w:val="none"/>
          <w:lang w:val="en-US" w:eastAsia="zh-CN"/>
        </w:rPr>
        <w:t>，科技馆的展览内容更新速度相对较慢，难以满足参观者对最新科技进展和应用的需求。</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Style w:val="9"/>
          <w:rFonts w:hint="eastAsia" w:ascii="仿宋" w:hAnsi="仿宋" w:eastAsia="仿宋" w:cs="仿宋"/>
          <w:b w:val="0"/>
          <w:bCs w:val="0"/>
          <w:color w:val="auto"/>
          <w:spacing w:val="-4"/>
          <w:sz w:val="32"/>
          <w:szCs w:val="32"/>
          <w:highlight w:val="none"/>
          <w:lang w:val="en-US" w:eastAsia="zh-CN"/>
        </w:rPr>
      </w:pPr>
      <w:r>
        <w:rPr>
          <w:rFonts w:hint="eastAsia" w:ascii="Times New Roman" w:hAnsi="Times New Roman" w:eastAsia="仿宋" w:cs="仿宋"/>
          <w:color w:val="auto"/>
          <w:sz w:val="32"/>
          <w:szCs w:val="32"/>
          <w:highlight w:val="none"/>
          <w:lang w:val="en-US" w:eastAsia="zh-CN"/>
        </w:rPr>
        <w:t>科技馆将持续做好场馆免费开放工作，以提高全市公众科学素质为己任，开拓创新，真抓实干，加大科普宣传力度，大力弘扬科学精神，传播科学思想，普及科学知识，提高科学方法，在全社会形成学科学、爱科学、用科学的良好氛围，为建设科技强市发挥科技馆应有作用。</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DCD018-37D9-4686-B9EF-C01DC4581C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733C7C7-77F5-4061-ACC9-88C71C333613}"/>
  </w:font>
  <w:font w:name="Arial">
    <w:panose1 w:val="020B0604020202020204"/>
    <w:charset w:val="00"/>
    <w:family w:val="auto"/>
    <w:pitch w:val="default"/>
    <w:sig w:usb0="E0002EFF" w:usb1="C000785B" w:usb2="00000009" w:usb3="00000000" w:csb0="400001FF" w:csb1="FFFF0000"/>
    <w:embedRegular r:id="rId3" w:fontKey="{BA4D9C1C-B73B-41C3-97B6-AFA01191DEA6}"/>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AB1E0DB2-AC73-4F4E-AF76-C8D74F3C6501}"/>
  </w:font>
  <w:font w:name="仿宋_GB2312">
    <w:panose1 w:val="02010609030101010101"/>
    <w:charset w:val="86"/>
    <w:family w:val="modern"/>
    <w:pitch w:val="default"/>
    <w:sig w:usb0="00000001" w:usb1="080E0000" w:usb2="00000000" w:usb3="00000000" w:csb0="00040000" w:csb1="00000000"/>
    <w:embedRegular r:id="rId5" w:fontKey="{CCFE451B-CABA-4342-83C7-E4C709FE75A6}"/>
  </w:font>
  <w:font w:name="楷体">
    <w:panose1 w:val="02010609060101010101"/>
    <w:charset w:val="86"/>
    <w:family w:val="modern"/>
    <w:pitch w:val="default"/>
    <w:sig w:usb0="800002BF" w:usb1="38CF7CFA" w:usb2="00000016" w:usb3="00000000" w:csb0="00040001" w:csb1="00000000"/>
    <w:embedRegular r:id="rId6" w:fontKey="{29CC0E96-373F-4416-9579-873FE6E0B6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140A06"/>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D3F0613"/>
    <w:rsid w:val="0D617282"/>
    <w:rsid w:val="0F661726"/>
    <w:rsid w:val="0F772EC6"/>
    <w:rsid w:val="0F877334"/>
    <w:rsid w:val="10182B28"/>
    <w:rsid w:val="109160DD"/>
    <w:rsid w:val="10947BCD"/>
    <w:rsid w:val="114B3E5E"/>
    <w:rsid w:val="115E3FEE"/>
    <w:rsid w:val="116B384E"/>
    <w:rsid w:val="11DD16C8"/>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632B53"/>
    <w:rsid w:val="1D7602A9"/>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76460F3"/>
    <w:rsid w:val="27660FAF"/>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E7449BA"/>
    <w:rsid w:val="2EF83CAC"/>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625E41"/>
    <w:rsid w:val="34C13400"/>
    <w:rsid w:val="34F32864"/>
    <w:rsid w:val="35386E11"/>
    <w:rsid w:val="35612ABD"/>
    <w:rsid w:val="35973D90"/>
    <w:rsid w:val="375B2943"/>
    <w:rsid w:val="38086A4E"/>
    <w:rsid w:val="38C32119"/>
    <w:rsid w:val="38EE054F"/>
    <w:rsid w:val="39440A0C"/>
    <w:rsid w:val="398443D3"/>
    <w:rsid w:val="398C3287"/>
    <w:rsid w:val="39A60AF6"/>
    <w:rsid w:val="3AA12D62"/>
    <w:rsid w:val="3B2319C9"/>
    <w:rsid w:val="3B5D5890"/>
    <w:rsid w:val="3BA6683D"/>
    <w:rsid w:val="3BC431AC"/>
    <w:rsid w:val="3C012639"/>
    <w:rsid w:val="3C8423E8"/>
    <w:rsid w:val="3D08492C"/>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6FA38E8"/>
    <w:rsid w:val="47013FF5"/>
    <w:rsid w:val="484A2C8B"/>
    <w:rsid w:val="48500FEB"/>
    <w:rsid w:val="49284D7B"/>
    <w:rsid w:val="49487285"/>
    <w:rsid w:val="49543DC1"/>
    <w:rsid w:val="4A0F39E7"/>
    <w:rsid w:val="4A207B28"/>
    <w:rsid w:val="4B364032"/>
    <w:rsid w:val="4B3B68BB"/>
    <w:rsid w:val="4B443785"/>
    <w:rsid w:val="4B537C75"/>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685FCA"/>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E455B0"/>
    <w:rsid w:val="60504E56"/>
    <w:rsid w:val="60535261"/>
    <w:rsid w:val="60C1036E"/>
    <w:rsid w:val="627A5057"/>
    <w:rsid w:val="62A033DD"/>
    <w:rsid w:val="62B113CD"/>
    <w:rsid w:val="62D376AD"/>
    <w:rsid w:val="62DA44F7"/>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80028D"/>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0422AC"/>
    <w:rsid w:val="79500F4C"/>
    <w:rsid w:val="7986195D"/>
    <w:rsid w:val="79E005EE"/>
    <w:rsid w:val="7A044DC4"/>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next w:val="1"/>
    <w:autoRedefine/>
    <w:qFormat/>
    <w:uiPriority w:val="0"/>
    <w:pPr>
      <w:spacing w:line="560" w:lineRule="exact"/>
      <w:ind w:left="0" w:leftChars="0" w:firstLine="420" w:firstLineChars="200"/>
    </w:pPr>
    <w:rPr>
      <w:rFonts w:ascii="Times New Roman" w:hAnsi="Times New Roman" w:eastAsia="方正仿宋_GBK" w:cs="Times New Roman"/>
      <w:sz w:val="32"/>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autoRedefine/>
    <w:qFormat/>
    <w:uiPriority w:val="0"/>
    <w:rPr>
      <w:b/>
      <w:bCs/>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409</Words>
  <Characters>422</Characters>
  <Lines>9</Lines>
  <Paragraphs>2</Paragraphs>
  <TotalTime>10</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2024-05-10T12:33:15Z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AB7D4EBE17AA4F01B2AC037978CE5AF6_13</vt:lpwstr>
  </property>
</Properties>
</file>